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9CE8" w14:textId="77777777" w:rsidR="00E123A8" w:rsidRPr="00E123A8" w:rsidRDefault="00E123A8" w:rsidP="00E123A8">
      <w:pPr>
        <w:pStyle w:val="NoSpacing"/>
        <w:jc w:val="both"/>
        <w:rPr>
          <w:rFonts w:cs="Calibri"/>
          <w:b/>
          <w:bCs/>
          <w:sz w:val="32"/>
          <w:szCs w:val="32"/>
        </w:rPr>
      </w:pPr>
      <w:r w:rsidRPr="00E123A8">
        <w:rPr>
          <w:rFonts w:cs="Calibri"/>
          <w:b/>
          <w:bCs/>
          <w:sz w:val="32"/>
          <w:szCs w:val="32"/>
        </w:rPr>
        <w:t xml:space="preserve">References </w:t>
      </w:r>
    </w:p>
    <w:p w14:paraId="0C9E3B37" w14:textId="77777777" w:rsidR="00E123A8" w:rsidRPr="00E123A8" w:rsidRDefault="00E123A8" w:rsidP="00E123A8">
      <w:pPr>
        <w:pStyle w:val="BodyText2"/>
        <w:jc w:val="both"/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Australian Institute of Health and Welfare. (2024).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Data Tables: Child Protection Australia 2023-2024: Insights</w:t>
      </w:r>
    </w:p>
    <w:p w14:paraId="2D5252AC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               https://www.aihw.gov.au/reports-data/health-welfare-services/child-protection/data</w:t>
      </w:r>
    </w:p>
    <w:p w14:paraId="4A3A51F9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Bion, W.R. (1970).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Attention and Interpretation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>. Northvale, NJ: Jason Aronson 1994.</w:t>
      </w:r>
    </w:p>
    <w:p w14:paraId="3A678DDB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</w:p>
    <w:p w14:paraId="31B9E094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proofErr w:type="spellStart"/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>Berrol</w:t>
      </w:r>
      <w:proofErr w:type="spellEnd"/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, C.F. (2006). Neuroscience meets dance/movement therapy: Mirror Neurons, the Therapeutic Process and Empathy.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The Arts in psychotherapy,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 33, 302-315. https://doi.org/10.1016/j.aip.2006.04.001</w:t>
      </w:r>
    </w:p>
    <w:p w14:paraId="42E95553" w14:textId="77777777" w:rsidR="00E123A8" w:rsidRPr="00E123A8" w:rsidRDefault="00E123A8" w:rsidP="00E123A8">
      <w:pPr>
        <w:pStyle w:val="BodyText2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</w:p>
    <w:p w14:paraId="0C7B168A" w14:textId="77777777" w:rsidR="00E123A8" w:rsidRPr="00E123A8" w:rsidRDefault="00E123A8" w:rsidP="00E123A8">
      <w:pPr>
        <w:pStyle w:val="BodyText2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>Blue Knot Foundation. (n.d.). https://blueknot.org.au/resources/newsletters/breaking-free/breaking-</w:t>
      </w:r>
    </w:p>
    <w:p w14:paraId="691C6740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             free-august-2022/</w:t>
      </w:r>
    </w:p>
    <w:p w14:paraId="01B1E828" w14:textId="77777777" w:rsidR="00E123A8" w:rsidRPr="00E123A8" w:rsidRDefault="00E123A8" w:rsidP="00E123A8">
      <w:pPr>
        <w:pStyle w:val="BodyText2"/>
        <w:jc w:val="both"/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</w:pPr>
    </w:p>
    <w:p w14:paraId="2123FB35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  <w:t xml:space="preserve">Brown, J. M. (2015). Therapeutic Moments are the key. Foster children give clues to their </w:t>
      </w:r>
      <w:proofErr w:type="gramStart"/>
      <w:r w:rsidRPr="00E123A8"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  <w:t>past experience</w:t>
      </w:r>
      <w:proofErr w:type="gramEnd"/>
      <w:r w:rsidRPr="00E123A8"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  <w:t xml:space="preserve"> of infant trauma and neglect. </w:t>
      </w:r>
      <w:r w:rsidRPr="00E123A8">
        <w:rPr>
          <w:rFonts w:ascii="Calibri" w:eastAsia="Times New Roman" w:hAnsi="Calibri" w:cs="Calibri"/>
          <w:b w:val="0"/>
          <w:bCs w:val="0"/>
          <w:i/>
          <w:iCs/>
          <w:sz w:val="20"/>
          <w:szCs w:val="20"/>
          <w:u w:val="none"/>
          <w:lang w:eastAsia="ja-JP"/>
        </w:rPr>
        <w:t>Journal of Family Therapy</w:t>
      </w:r>
      <w:r w:rsidRPr="00E123A8"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  <w:t xml:space="preserve">. 37, 286-307 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  <w:shd w:val="clear" w:color="auto" w:fill="FFFFFF"/>
        </w:rPr>
        <w:t>DOI: 10.1111/j.1467-6427.</w:t>
      </w:r>
      <w:proofErr w:type="gramStart"/>
      <w:r w:rsidRPr="00E123A8">
        <w:rPr>
          <w:rFonts w:ascii="Calibri" w:hAnsi="Calibri" w:cs="Calibri"/>
          <w:b w:val="0"/>
          <w:bCs w:val="0"/>
          <w:sz w:val="20"/>
          <w:szCs w:val="20"/>
          <w:u w:val="none"/>
          <w:shd w:val="clear" w:color="auto" w:fill="FFFFFF"/>
        </w:rPr>
        <w:t>2012.00606.x</w:t>
      </w:r>
      <w:proofErr w:type="gramEnd"/>
    </w:p>
    <w:p w14:paraId="7C68EE54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</w:p>
    <w:p w14:paraId="608C07B2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eastAsia="Yu Mincho" w:hAnsi="Calibri" w:cs="Calibri"/>
          <w:b w:val="0"/>
          <w:bCs w:val="0"/>
          <w:sz w:val="20"/>
          <w:szCs w:val="20"/>
          <w:u w:val="none"/>
          <w:lang w:eastAsia="ja-JP"/>
        </w:rPr>
      </w:pPr>
      <w:r w:rsidRPr="00E123A8">
        <w:rPr>
          <w:rFonts w:ascii="Calibri" w:eastAsia="Yu Mincho" w:hAnsi="Calibri" w:cs="Calibri"/>
          <w:b w:val="0"/>
          <w:bCs w:val="0"/>
          <w:sz w:val="20"/>
          <w:szCs w:val="20"/>
          <w:u w:val="none"/>
          <w:lang w:eastAsia="ja-JP"/>
        </w:rPr>
        <w:t>Casey Family Program (2022). How does the language used in child welfare impact families? (</w:t>
      </w:r>
      <w:proofErr w:type="gramStart"/>
      <w:r w:rsidRPr="00E123A8">
        <w:rPr>
          <w:rFonts w:ascii="Calibri" w:eastAsia="Yu Mincho" w:hAnsi="Calibri" w:cs="Calibri"/>
          <w:b w:val="0"/>
          <w:bCs w:val="0"/>
          <w:sz w:val="20"/>
          <w:szCs w:val="20"/>
          <w:u w:val="none"/>
          <w:lang w:eastAsia="ja-JP"/>
        </w:rPr>
        <w:t>December,</w:t>
      </w:r>
      <w:proofErr w:type="gramEnd"/>
      <w:r w:rsidRPr="00E123A8">
        <w:rPr>
          <w:rFonts w:ascii="Calibri" w:eastAsia="Yu Mincho" w:hAnsi="Calibri" w:cs="Calibri"/>
          <w:b w:val="0"/>
          <w:bCs w:val="0"/>
          <w:sz w:val="20"/>
          <w:szCs w:val="20"/>
          <w:u w:val="none"/>
          <w:lang w:eastAsia="ja-JP"/>
        </w:rPr>
        <w:t xml:space="preserve"> 1</w:t>
      </w:r>
      <w:r w:rsidRPr="00E123A8">
        <w:rPr>
          <w:rFonts w:ascii="Calibri" w:eastAsia="Yu Mincho" w:hAnsi="Calibri" w:cs="Calibri"/>
          <w:b w:val="0"/>
          <w:bCs w:val="0"/>
          <w:sz w:val="20"/>
          <w:szCs w:val="20"/>
          <w:u w:val="none"/>
          <w:vertAlign w:val="superscript"/>
          <w:lang w:eastAsia="ja-JP"/>
        </w:rPr>
        <w:t>st</w:t>
      </w:r>
      <w:r w:rsidRPr="00E123A8">
        <w:rPr>
          <w:rFonts w:ascii="Calibri" w:eastAsia="Yu Mincho" w:hAnsi="Calibri" w:cs="Calibri"/>
          <w:b w:val="0"/>
          <w:bCs w:val="0"/>
          <w:sz w:val="20"/>
          <w:szCs w:val="20"/>
          <w:u w:val="none"/>
          <w:lang w:eastAsia="ja-JP"/>
        </w:rPr>
        <w:t xml:space="preserve"> 2022). https://www.casey.org/use-of-language/</w:t>
      </w:r>
    </w:p>
    <w:p w14:paraId="7710292D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eastAsia="Yu Mincho" w:hAnsi="Calibri" w:cs="Calibri"/>
          <w:b w:val="0"/>
          <w:bCs w:val="0"/>
          <w:sz w:val="20"/>
          <w:szCs w:val="20"/>
          <w:u w:val="none"/>
          <w:lang w:eastAsia="ja-JP"/>
        </w:rPr>
      </w:pPr>
    </w:p>
    <w:p w14:paraId="4208AAAB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Coates, S. W. (2016). Can Babies Remember Trauma? Symbolic Forms of Representation in Traumatized Infants.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Journal of the American Psychoanalytic Association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,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64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>(4), 751–776. https://doi.org/10.1177/0003065116659443</w:t>
      </w:r>
    </w:p>
    <w:p w14:paraId="61883DC2" w14:textId="77777777" w:rsidR="00E123A8" w:rsidRPr="00E123A8" w:rsidRDefault="00E123A8" w:rsidP="00E123A8">
      <w:pPr>
        <w:pStyle w:val="BodyText3"/>
        <w:rPr>
          <w:rFonts w:ascii="Calibri" w:hAnsi="Calibri" w:cs="Calibri"/>
          <w:b/>
          <w:sz w:val="20"/>
          <w:szCs w:val="20"/>
        </w:rPr>
      </w:pPr>
    </w:p>
    <w:p w14:paraId="42B61AEF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proofErr w:type="spellStart"/>
      <w:r w:rsidRPr="00E123A8">
        <w:rPr>
          <w:rFonts w:ascii="Calibri" w:eastAsia="Times New Roman" w:hAnsi="Calibri" w:cs="Calibri"/>
        </w:rPr>
        <w:t>Cotigă</w:t>
      </w:r>
      <w:proofErr w:type="spellEnd"/>
      <w:r w:rsidRPr="00E123A8">
        <w:rPr>
          <w:rFonts w:ascii="Calibri" w:eastAsia="Times New Roman" w:hAnsi="Calibri" w:cs="Calibri"/>
        </w:rPr>
        <w:t xml:space="preserve">, </w:t>
      </w:r>
      <w:proofErr w:type="gramStart"/>
      <w:r w:rsidRPr="00E123A8">
        <w:rPr>
          <w:rFonts w:ascii="Calibri" w:eastAsia="Times New Roman" w:hAnsi="Calibri" w:cs="Calibri"/>
        </w:rPr>
        <w:t>A.,C.</w:t>
      </w:r>
      <w:proofErr w:type="gramEnd"/>
      <w:r w:rsidRPr="00E123A8">
        <w:rPr>
          <w:rFonts w:ascii="Calibri" w:eastAsia="Times New Roman" w:hAnsi="Calibri" w:cs="Calibri"/>
        </w:rPr>
        <w:t>, &amp; Stulz-Koller, A. (2021). Early Traumatic Events &amp; Implications for the Development of Emotional Connection: Two Case Studies Using Trauma Play Therapy with Children.</w:t>
      </w:r>
      <w:r w:rsidRPr="00E123A8">
        <w:rPr>
          <w:rFonts w:ascii="Calibri" w:eastAsia="Times New Roman" w:hAnsi="Calibri" w:cs="Calibri"/>
          <w:i/>
          <w:iCs/>
        </w:rPr>
        <w:t> Journal of Prenatal &amp; Perinatal Psychology &amp; Health, 35</w:t>
      </w:r>
      <w:r w:rsidRPr="00E123A8">
        <w:rPr>
          <w:rFonts w:ascii="Calibri" w:eastAsia="Times New Roman" w:hAnsi="Calibri" w:cs="Calibri"/>
        </w:rPr>
        <w:t xml:space="preserve">(1), 58-76. </w:t>
      </w:r>
    </w:p>
    <w:p w14:paraId="5F342C66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 xml:space="preserve">della Selva, P. C. (1991). The Emergence and Working through of Preverbal Traum in Short-Term Dynamic Psychotherapy. </w:t>
      </w:r>
      <w:r w:rsidRPr="00E123A8">
        <w:rPr>
          <w:rFonts w:ascii="Calibri" w:eastAsia="Times New Roman" w:hAnsi="Calibri" w:cs="Calibri"/>
          <w:i/>
          <w:iCs/>
        </w:rPr>
        <w:t>International Journal of Short-Term Psychotherapy.</w:t>
      </w:r>
      <w:r w:rsidRPr="00E123A8">
        <w:rPr>
          <w:rFonts w:ascii="Calibri" w:eastAsia="Times New Roman" w:hAnsi="Calibri" w:cs="Calibri"/>
        </w:rPr>
        <w:t xml:space="preserve"> 6. 195-216</w:t>
      </w:r>
    </w:p>
    <w:p w14:paraId="6F981C45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 xml:space="preserve">Denning, S. (2017) The Importance of Fred: Dance movement therapy with children with complex trauma. </w:t>
      </w:r>
      <w:r w:rsidRPr="00E123A8">
        <w:rPr>
          <w:rFonts w:ascii="Calibri" w:eastAsia="Times New Roman" w:hAnsi="Calibri" w:cs="Calibri"/>
          <w:i/>
          <w:iCs/>
        </w:rPr>
        <w:t>Dance Therapy Collections</w:t>
      </w:r>
      <w:r w:rsidRPr="00E123A8">
        <w:rPr>
          <w:rFonts w:ascii="Calibri" w:eastAsia="Times New Roman" w:hAnsi="Calibri" w:cs="Calibri"/>
        </w:rPr>
        <w:t>. 4. 67-75, The Dance Movement Therapy Association of Australasia. http://dtaa.org.au/</w:t>
      </w:r>
    </w:p>
    <w:p w14:paraId="39816D64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Devinsky, O. (2000). Right Cerebral Hemisphere Dominance for a Sense of Corporeal and Emotional Self.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 xml:space="preserve">Epilepsy and </w:t>
      </w:r>
      <w:proofErr w:type="spellStart"/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Behavior</w:t>
      </w:r>
      <w:proofErr w:type="spellEnd"/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,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1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>(1), 60–73. https://doi.org/10.1006/ebeh.2000.0025</w:t>
      </w:r>
    </w:p>
    <w:p w14:paraId="354E6594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</w:p>
    <w:p w14:paraId="1B9BA6D9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 xml:space="preserve">Eekhoff, J.K. (2013). Infantile Trauma, Therapeutic Impasses and Recovery. </w:t>
      </w:r>
      <w:r w:rsidRPr="00E123A8">
        <w:rPr>
          <w:rFonts w:ascii="Calibri" w:eastAsia="Times New Roman" w:hAnsi="Calibri" w:cs="Calibri"/>
          <w:i/>
          <w:iCs/>
        </w:rPr>
        <w:t>The American Journal of Psychoanalysis.</w:t>
      </w:r>
      <w:r w:rsidRPr="00E123A8">
        <w:rPr>
          <w:rFonts w:ascii="Calibri" w:eastAsia="Times New Roman" w:hAnsi="Calibri" w:cs="Calibri"/>
        </w:rPr>
        <w:t xml:space="preserve"> 73. 353-369. </w:t>
      </w:r>
      <w:r w:rsidRPr="00E123A8">
        <w:rPr>
          <w:rFonts w:ascii="Calibri" w:hAnsi="Calibri" w:cs="Calibri"/>
          <w:shd w:val="clear" w:color="auto" w:fill="FFFFFF"/>
        </w:rPr>
        <w:t>https://doi.org/10.1057/ajp.2013.27</w:t>
      </w:r>
    </w:p>
    <w:p w14:paraId="3D5CA2A2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Esquivel, A. &amp; The Adoption Exchange (2018).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How Preverbal Trauma Affects Present Day Regulation.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 https://s3.us-east-1.amazonaws.com/assets.raisethefuture.org/archived-class-documents/Preverbal_Trauma_Webinar.pdf </w:t>
      </w:r>
    </w:p>
    <w:p w14:paraId="25D7E57D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</w:p>
    <w:p w14:paraId="668BAE92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 xml:space="preserve">Elbrecht, C. and Antcliff, L. (2015). Being in Touch. Healing Developmental and Attachment Trauma at the Clay Field. </w:t>
      </w:r>
      <w:r w:rsidRPr="00E123A8">
        <w:rPr>
          <w:rFonts w:ascii="Calibri" w:eastAsia="Times New Roman" w:hAnsi="Calibri" w:cs="Calibri"/>
          <w:i/>
          <w:iCs/>
        </w:rPr>
        <w:t>Children Australia</w:t>
      </w:r>
      <w:r w:rsidRPr="00E123A8">
        <w:rPr>
          <w:rFonts w:ascii="Calibri" w:eastAsia="Times New Roman" w:hAnsi="Calibri" w:cs="Calibri"/>
        </w:rPr>
        <w:t xml:space="preserve">. 40(3). 209-220. </w:t>
      </w:r>
      <w:r w:rsidRPr="00E123A8">
        <w:rPr>
          <w:rFonts w:ascii="Calibri" w:hAnsi="Calibri" w:cs="Calibri"/>
        </w:rPr>
        <w:t>DOI: 10.1017/cha.2015.30</w:t>
      </w:r>
    </w:p>
    <w:p w14:paraId="17B4FFCB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hAnsi="Calibri" w:cs="Calibri"/>
        </w:rPr>
        <w:t xml:space="preserve">Finn, H., Warner, E., Price, M., &amp; Spinazzola, J. (2018). The Boy Who Was Hit in the Face: Somatic Regulation and Processing of Preverbal Complex Trauma. </w:t>
      </w:r>
      <w:r w:rsidRPr="00E123A8">
        <w:rPr>
          <w:rFonts w:ascii="Calibri" w:hAnsi="Calibri" w:cs="Calibri"/>
          <w:i/>
          <w:iCs/>
        </w:rPr>
        <w:t>Journal of Child &amp; Adolescent Trauma</w:t>
      </w:r>
      <w:r w:rsidRPr="00E123A8">
        <w:rPr>
          <w:rFonts w:ascii="Calibri" w:hAnsi="Calibri" w:cs="Calibri"/>
        </w:rPr>
        <w:t xml:space="preserve">, </w:t>
      </w:r>
      <w:r w:rsidRPr="00E123A8">
        <w:rPr>
          <w:rFonts w:ascii="Calibri" w:hAnsi="Calibri" w:cs="Calibri"/>
          <w:i/>
          <w:iCs/>
        </w:rPr>
        <w:t>11</w:t>
      </w:r>
      <w:r w:rsidRPr="00E123A8">
        <w:rPr>
          <w:rFonts w:ascii="Calibri" w:hAnsi="Calibri" w:cs="Calibri"/>
        </w:rPr>
        <w:t>(3), 277–288. https://doi.org/10.1007/s40653-017-0165-9</w:t>
      </w:r>
    </w:p>
    <w:p w14:paraId="15C5BFAD" w14:textId="77777777" w:rsidR="00E123A8" w:rsidRPr="00E123A8" w:rsidRDefault="00E123A8" w:rsidP="00E123A8">
      <w:pPr>
        <w:shd w:val="clear" w:color="auto" w:fill="FFFFFF"/>
        <w:spacing w:before="100" w:beforeAutospacing="1" w:after="100" w:afterAutospacing="1"/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 xml:space="preserve">Fleischer, K (2023). Collective Trauma, Implicit Memories, the Body, and Active Imagination in Jungian Analysis. </w:t>
      </w:r>
      <w:r w:rsidRPr="00E123A8">
        <w:rPr>
          <w:rFonts w:ascii="Calibri" w:eastAsia="Times New Roman" w:hAnsi="Calibri" w:cs="Calibri"/>
          <w:i/>
          <w:iCs/>
        </w:rPr>
        <w:t>Journal of Analytical Psychology</w:t>
      </w:r>
      <w:r w:rsidRPr="00E123A8">
        <w:rPr>
          <w:rFonts w:ascii="Calibri" w:eastAsia="Times New Roman" w:hAnsi="Calibri" w:cs="Calibri"/>
        </w:rPr>
        <w:t>. 68 (2), 395-415</w:t>
      </w:r>
      <w:r w:rsidRPr="00E123A8">
        <w:rPr>
          <w:rFonts w:ascii="Calibri" w:eastAsia="Times New Roman" w:hAnsi="Calibri" w:cs="Calibri"/>
          <w:b/>
          <w:bCs/>
        </w:rPr>
        <w:t xml:space="preserve">. </w:t>
      </w:r>
      <w:r w:rsidRPr="00E123A8">
        <w:rPr>
          <w:rFonts w:ascii="Calibri" w:eastAsia="Times New Roman" w:hAnsi="Calibri" w:cs="Calibri"/>
        </w:rPr>
        <w:t>DOI: 10.1111/1468-5922.12908</w:t>
      </w:r>
    </w:p>
    <w:p w14:paraId="5E571AC6" w14:textId="77777777" w:rsidR="00E123A8" w:rsidRPr="00E123A8" w:rsidRDefault="00E123A8" w:rsidP="00E123A8">
      <w:pPr>
        <w:spacing w:before="100" w:beforeAutospacing="1" w:after="100" w:afterAutospacing="1"/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>Foster Love (2025). Using Thoughtful Language in Foster Care. https://fosterlove.com/blog/using-thoughtful-language-other-words-for-fostering/</w:t>
      </w:r>
    </w:p>
    <w:p w14:paraId="4EAB1058" w14:textId="77777777" w:rsidR="00E123A8" w:rsidRPr="00E123A8" w:rsidRDefault="00E123A8" w:rsidP="00E123A8">
      <w:pPr>
        <w:pStyle w:val="BodyText3"/>
        <w:ind w:left="720" w:hanging="720"/>
        <w:rPr>
          <w:rFonts w:ascii="Calibri" w:hAnsi="Calibri" w:cs="Calibri"/>
          <w:bCs/>
          <w:sz w:val="20"/>
          <w:szCs w:val="20"/>
        </w:rPr>
      </w:pPr>
      <w:r w:rsidRPr="00E123A8">
        <w:rPr>
          <w:rFonts w:ascii="Calibri" w:hAnsi="Calibri" w:cs="Calibri"/>
          <w:bCs/>
          <w:sz w:val="20"/>
          <w:szCs w:val="20"/>
        </w:rPr>
        <w:lastRenderedPageBreak/>
        <w:t xml:space="preserve">Gaensbauer, </w:t>
      </w:r>
      <w:r w:rsidRPr="00E123A8">
        <w:rPr>
          <w:rFonts w:ascii="Calibri" w:eastAsia="Times New Roman" w:hAnsi="Calibri" w:cs="Calibri"/>
          <w:bCs/>
          <w:sz w:val="20"/>
          <w:szCs w:val="20"/>
        </w:rPr>
        <w:t xml:space="preserve">T.J. (1995). Trauma in the Preverbal Period. Symptoms, Memories, Developmental Impact. </w:t>
      </w:r>
      <w:r w:rsidRPr="00E123A8">
        <w:rPr>
          <w:rFonts w:ascii="Calibri" w:eastAsia="Times New Roman" w:hAnsi="Calibri" w:cs="Calibri"/>
          <w:bCs/>
          <w:i/>
          <w:iCs/>
          <w:sz w:val="20"/>
          <w:szCs w:val="20"/>
        </w:rPr>
        <w:t>The Psychoanalytic Study of the Child</w:t>
      </w:r>
      <w:r w:rsidRPr="00E123A8">
        <w:rPr>
          <w:rFonts w:ascii="Calibri" w:eastAsia="Times New Roman" w:hAnsi="Calibri" w:cs="Calibri"/>
          <w:bCs/>
          <w:sz w:val="20"/>
          <w:szCs w:val="20"/>
        </w:rPr>
        <w:t xml:space="preserve">. 50, 122-149 </w:t>
      </w:r>
      <w:r w:rsidRPr="00E123A8">
        <w:rPr>
          <w:rFonts w:ascii="Calibri" w:hAnsi="Calibri" w:cs="Calibri"/>
          <w:bCs/>
          <w:sz w:val="20"/>
          <w:szCs w:val="20"/>
        </w:rPr>
        <w:t xml:space="preserve">DOI: 10.1080/00797308.1995.11822399 </w:t>
      </w:r>
    </w:p>
    <w:p w14:paraId="139EE7D3" w14:textId="77777777" w:rsidR="00E123A8" w:rsidRPr="00E123A8" w:rsidRDefault="00E123A8" w:rsidP="00E123A8">
      <w:pPr>
        <w:pStyle w:val="BodyText3"/>
        <w:ind w:left="720" w:hanging="720"/>
        <w:rPr>
          <w:rFonts w:ascii="Calibri" w:hAnsi="Calibri" w:cs="Calibri"/>
          <w:bCs/>
          <w:sz w:val="20"/>
          <w:szCs w:val="20"/>
        </w:rPr>
      </w:pPr>
    </w:p>
    <w:p w14:paraId="523033B0" w14:textId="77777777" w:rsidR="00E123A8" w:rsidRPr="00E123A8" w:rsidRDefault="00E123A8" w:rsidP="00E123A8">
      <w:pPr>
        <w:pStyle w:val="BodyText3"/>
        <w:ind w:left="720" w:hanging="720"/>
        <w:rPr>
          <w:rFonts w:ascii="Calibri" w:hAnsi="Calibri" w:cs="Calibri"/>
          <w:sz w:val="20"/>
          <w:szCs w:val="20"/>
        </w:rPr>
      </w:pPr>
      <w:r w:rsidRPr="00E123A8">
        <w:rPr>
          <w:rFonts w:ascii="Calibri" w:hAnsi="Calibri" w:cs="Calibri"/>
          <w:sz w:val="20"/>
          <w:szCs w:val="20"/>
        </w:rPr>
        <w:t xml:space="preserve">Gaensbauer, T. J. (2011). Embodied simulation, mirror neurons, and the reenactment of trauma in early childhood. </w:t>
      </w:r>
      <w:proofErr w:type="spellStart"/>
      <w:r w:rsidRPr="00E123A8">
        <w:rPr>
          <w:rFonts w:ascii="Calibri" w:hAnsi="Calibri" w:cs="Calibri"/>
          <w:i/>
          <w:iCs/>
          <w:sz w:val="20"/>
          <w:szCs w:val="20"/>
        </w:rPr>
        <w:t>Neuropsychoanalysis</w:t>
      </w:r>
      <w:proofErr w:type="spellEnd"/>
      <w:r w:rsidRPr="00E123A8">
        <w:rPr>
          <w:rFonts w:ascii="Calibri" w:hAnsi="Calibri" w:cs="Calibri"/>
          <w:sz w:val="20"/>
          <w:szCs w:val="20"/>
        </w:rPr>
        <w:t xml:space="preserve">, </w:t>
      </w:r>
      <w:r w:rsidRPr="00E123A8">
        <w:rPr>
          <w:rFonts w:ascii="Calibri" w:hAnsi="Calibri" w:cs="Calibri"/>
          <w:i/>
          <w:iCs/>
          <w:sz w:val="20"/>
          <w:szCs w:val="20"/>
        </w:rPr>
        <w:t>13</w:t>
      </w:r>
      <w:r w:rsidRPr="00E123A8">
        <w:rPr>
          <w:rFonts w:ascii="Calibri" w:hAnsi="Calibri" w:cs="Calibri"/>
          <w:sz w:val="20"/>
          <w:szCs w:val="20"/>
        </w:rPr>
        <w:t xml:space="preserve">(1), 91–107. </w:t>
      </w:r>
      <w:hyperlink r:id="rId4" w:history="1">
        <w:r w:rsidRPr="00E123A8">
          <w:rPr>
            <w:rStyle w:val="Hyperlink"/>
            <w:rFonts w:ascii="Calibri" w:hAnsi="Calibri" w:cs="Calibri"/>
            <w:color w:val="auto"/>
            <w:sz w:val="20"/>
            <w:szCs w:val="20"/>
          </w:rPr>
          <w:t>https://doi.org/10.1080/15294145.2011.10773665</w:t>
        </w:r>
      </w:hyperlink>
    </w:p>
    <w:p w14:paraId="1E3BBCF5" w14:textId="77777777" w:rsidR="00E123A8" w:rsidRPr="00E123A8" w:rsidRDefault="00E123A8" w:rsidP="00E123A8">
      <w:pPr>
        <w:pStyle w:val="BodyText3"/>
        <w:ind w:left="720" w:hanging="720"/>
        <w:rPr>
          <w:rFonts w:ascii="Calibri" w:hAnsi="Calibri" w:cs="Calibri"/>
          <w:sz w:val="20"/>
          <w:szCs w:val="20"/>
        </w:rPr>
      </w:pPr>
    </w:p>
    <w:p w14:paraId="74CCCA8F" w14:textId="77777777" w:rsidR="00E123A8" w:rsidRPr="00E123A8" w:rsidRDefault="00E123A8" w:rsidP="00E123A8">
      <w:pPr>
        <w:ind w:left="720" w:hanging="720"/>
        <w:rPr>
          <w:rFonts w:ascii="Calibri" w:hAnsi="Calibri" w:cs="Calibri"/>
        </w:rPr>
      </w:pPr>
      <w:r w:rsidRPr="00E123A8">
        <w:rPr>
          <w:rFonts w:ascii="Calibri" w:eastAsia="Times New Roman" w:hAnsi="Calibri" w:cs="Calibri"/>
        </w:rPr>
        <w:t xml:space="preserve">Green, E.J., Crenshaw, D.A., and Kolos, A.C. (2010). Counselling Children with Preverbal Trauma. </w:t>
      </w:r>
      <w:r w:rsidRPr="00E123A8">
        <w:rPr>
          <w:rFonts w:ascii="Calibri" w:eastAsia="Times New Roman" w:hAnsi="Calibri" w:cs="Calibri"/>
          <w:i/>
          <w:iCs/>
        </w:rPr>
        <w:t>International Journal of Play Therapy</w:t>
      </w:r>
      <w:r w:rsidRPr="00E123A8">
        <w:rPr>
          <w:rFonts w:ascii="Calibri" w:eastAsia="Times New Roman" w:hAnsi="Calibri" w:cs="Calibri"/>
        </w:rPr>
        <w:t xml:space="preserve">. 19 (2). 95-105 </w:t>
      </w:r>
      <w:r w:rsidRPr="00E123A8">
        <w:rPr>
          <w:rFonts w:ascii="Calibri" w:hAnsi="Calibri" w:cs="Calibri"/>
        </w:rPr>
        <w:t>DOI: 10.1037/a0017667</w:t>
      </w:r>
    </w:p>
    <w:p w14:paraId="6F83BBB2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>Gantt, L., &amp; Tripp, T. (2016). The image comes first: Treating preverbal trauma with art therapy. In </w:t>
      </w:r>
      <w:r w:rsidRPr="00E123A8">
        <w:rPr>
          <w:rFonts w:ascii="Calibri" w:eastAsia="Times New Roman" w:hAnsi="Calibri" w:cs="Calibri"/>
          <w:i/>
          <w:iCs/>
        </w:rPr>
        <w:t>Art therapy, trauma, and neuroscience</w:t>
      </w:r>
      <w:r w:rsidRPr="00E123A8">
        <w:rPr>
          <w:rFonts w:ascii="Calibri" w:eastAsia="Times New Roman" w:hAnsi="Calibri" w:cs="Calibri"/>
        </w:rPr>
        <w:t> (pp. 67-99). Routledge.</w:t>
      </w:r>
    </w:p>
    <w:p w14:paraId="2BC47D4C" w14:textId="77777777" w:rsidR="00E123A8" w:rsidRPr="00E123A8" w:rsidRDefault="00E123A8" w:rsidP="00E123A8">
      <w:pPr>
        <w:pStyle w:val="BodyText3"/>
        <w:ind w:left="720" w:hanging="720"/>
        <w:rPr>
          <w:rFonts w:ascii="Calibri" w:hAnsi="Calibri" w:cs="Calibri"/>
          <w:sz w:val="20"/>
          <w:szCs w:val="20"/>
        </w:rPr>
      </w:pPr>
      <w:r w:rsidRPr="00E123A8">
        <w:rPr>
          <w:rFonts w:ascii="Calibri" w:eastAsia="Times New Roman" w:hAnsi="Calibri" w:cs="Calibri"/>
          <w:sz w:val="20"/>
          <w:szCs w:val="20"/>
        </w:rPr>
        <w:t xml:space="preserve">Hartmann, I.C. (2019). Forms of Expression of a Preverbal Reality in Child Psychotherapy. </w:t>
      </w:r>
      <w:r w:rsidRPr="00E123A8">
        <w:rPr>
          <w:rFonts w:ascii="Calibri" w:eastAsia="Times New Roman" w:hAnsi="Calibri" w:cs="Calibri"/>
          <w:i/>
          <w:iCs/>
          <w:sz w:val="20"/>
          <w:szCs w:val="20"/>
        </w:rPr>
        <w:t>Journal of Prenatal and Perinatal Psychology and Health</w:t>
      </w:r>
      <w:r w:rsidRPr="00E123A8">
        <w:rPr>
          <w:rFonts w:ascii="Calibri" w:eastAsia="Times New Roman" w:hAnsi="Calibri" w:cs="Calibri"/>
          <w:sz w:val="20"/>
          <w:szCs w:val="20"/>
        </w:rPr>
        <w:t xml:space="preserve">. 33(4), 259-281. </w:t>
      </w:r>
      <w:r w:rsidRPr="00E123A8">
        <w:rPr>
          <w:rFonts w:ascii="Calibri" w:hAnsi="Calibri" w:cs="Calibri"/>
          <w:sz w:val="20"/>
          <w:szCs w:val="20"/>
        </w:rPr>
        <w:t>https://research.ebsco.com/c/xppotz/viewer/pdf/kmzmd6wlvz</w:t>
      </w:r>
    </w:p>
    <w:p w14:paraId="2C079A29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 xml:space="preserve">Herman-Smith, R. (2013). Intimate Partner Violence Exposure in Early Childhood: An </w:t>
      </w:r>
      <w:proofErr w:type="spellStart"/>
      <w:r w:rsidRPr="00E123A8">
        <w:rPr>
          <w:rFonts w:ascii="Calibri" w:eastAsia="Times New Roman" w:hAnsi="Calibri" w:cs="Calibri"/>
        </w:rPr>
        <w:t>Ecobiodevelopmental</w:t>
      </w:r>
      <w:proofErr w:type="spellEnd"/>
      <w:r w:rsidRPr="00E123A8">
        <w:rPr>
          <w:rFonts w:ascii="Calibri" w:eastAsia="Times New Roman" w:hAnsi="Calibri" w:cs="Calibri"/>
        </w:rPr>
        <w:t xml:space="preserve"> Perspective. </w:t>
      </w:r>
      <w:r w:rsidRPr="00E123A8">
        <w:rPr>
          <w:rFonts w:ascii="Calibri" w:eastAsia="Times New Roman" w:hAnsi="Calibri" w:cs="Calibri"/>
          <w:i/>
          <w:iCs/>
        </w:rPr>
        <w:t>Health &amp; Social Work</w:t>
      </w:r>
      <w:r w:rsidRPr="00E123A8">
        <w:rPr>
          <w:rFonts w:ascii="Calibri" w:eastAsia="Times New Roman" w:hAnsi="Calibri" w:cs="Calibri"/>
        </w:rPr>
        <w:t xml:space="preserve">, </w:t>
      </w:r>
      <w:r w:rsidRPr="00E123A8">
        <w:rPr>
          <w:rFonts w:ascii="Calibri" w:eastAsia="Times New Roman" w:hAnsi="Calibri" w:cs="Calibri"/>
          <w:i/>
          <w:iCs/>
        </w:rPr>
        <w:t>38</w:t>
      </w:r>
      <w:r w:rsidRPr="00E123A8">
        <w:rPr>
          <w:rFonts w:ascii="Calibri" w:eastAsia="Times New Roman" w:hAnsi="Calibri" w:cs="Calibri"/>
        </w:rPr>
        <w:t>(4), 231–239. https://doi.org/10.1093/hsw/hlt018</w:t>
      </w:r>
    </w:p>
    <w:p w14:paraId="3AB1F0A9" w14:textId="77777777" w:rsidR="00E123A8" w:rsidRPr="00E123A8" w:rsidRDefault="00E123A8" w:rsidP="00E123A8">
      <w:pPr>
        <w:pStyle w:val="NoSpacing"/>
        <w:ind w:left="720" w:hanging="720"/>
        <w:jc w:val="both"/>
        <w:rPr>
          <w:rFonts w:cs="Calibri"/>
          <w:sz w:val="20"/>
          <w:szCs w:val="20"/>
        </w:rPr>
      </w:pPr>
      <w:r w:rsidRPr="00E123A8">
        <w:rPr>
          <w:rFonts w:cs="Calibri"/>
          <w:sz w:val="20"/>
          <w:szCs w:val="20"/>
        </w:rPr>
        <w:t xml:space="preserve">Kaplow, J.B., Saxe, G.N., Putnam, F.W., </w:t>
      </w:r>
      <w:proofErr w:type="spellStart"/>
      <w:r w:rsidRPr="00E123A8">
        <w:rPr>
          <w:rFonts w:cs="Calibri"/>
          <w:sz w:val="20"/>
          <w:szCs w:val="20"/>
        </w:rPr>
        <w:t>Pynoos</w:t>
      </w:r>
      <w:proofErr w:type="spellEnd"/>
      <w:r w:rsidRPr="00E123A8">
        <w:rPr>
          <w:rFonts w:cs="Calibri"/>
          <w:sz w:val="20"/>
          <w:szCs w:val="20"/>
        </w:rPr>
        <w:t xml:space="preserve">, R.S., Lieberman, A.F. (2006). The Long-Term Consequences of Early Childhood Trauma: A Case Study and Discussion. </w:t>
      </w:r>
      <w:r w:rsidRPr="00E123A8">
        <w:rPr>
          <w:rFonts w:cs="Calibri"/>
          <w:i/>
          <w:iCs/>
          <w:sz w:val="20"/>
          <w:szCs w:val="20"/>
        </w:rPr>
        <w:t>Psychiatry</w:t>
      </w:r>
      <w:r w:rsidRPr="00E123A8">
        <w:rPr>
          <w:rFonts w:cs="Calibri"/>
          <w:sz w:val="20"/>
          <w:szCs w:val="20"/>
        </w:rPr>
        <w:t>, 69:4, 362-375, DOI: 10.1521/psyc.2006.69.4.362</w:t>
      </w:r>
    </w:p>
    <w:p w14:paraId="576A4E19" w14:textId="77777777" w:rsidR="00E123A8" w:rsidRPr="00E123A8" w:rsidRDefault="00E123A8" w:rsidP="00E123A8">
      <w:pPr>
        <w:pStyle w:val="BodyText3"/>
        <w:rPr>
          <w:rFonts w:ascii="Calibri" w:hAnsi="Calibri" w:cs="Calibri"/>
          <w:b/>
          <w:sz w:val="20"/>
          <w:szCs w:val="20"/>
        </w:rPr>
      </w:pPr>
    </w:p>
    <w:p w14:paraId="2442F298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proofErr w:type="spellStart"/>
      <w:r w:rsidRPr="00E123A8">
        <w:rPr>
          <w:rFonts w:ascii="Calibri" w:eastAsia="Times New Roman" w:hAnsi="Calibri" w:cs="Calibri"/>
        </w:rPr>
        <w:t>Klorer</w:t>
      </w:r>
      <w:proofErr w:type="spellEnd"/>
      <w:r w:rsidRPr="00E123A8">
        <w:rPr>
          <w:rFonts w:ascii="Calibri" w:eastAsia="Times New Roman" w:hAnsi="Calibri" w:cs="Calibri"/>
        </w:rPr>
        <w:t xml:space="preserve">, P.G. (2005). Expressive Therapy with Severely Maltreated Children. </w:t>
      </w:r>
      <w:r w:rsidRPr="00E123A8">
        <w:rPr>
          <w:rFonts w:ascii="Calibri" w:eastAsia="Times New Roman" w:hAnsi="Calibri" w:cs="Calibri"/>
          <w:i/>
          <w:iCs/>
        </w:rPr>
        <w:t>Neuroscience Contributions.</w:t>
      </w:r>
      <w:r w:rsidRPr="00E123A8">
        <w:rPr>
          <w:rFonts w:ascii="Calibri" w:eastAsia="Times New Roman" w:hAnsi="Calibri" w:cs="Calibri"/>
        </w:rPr>
        <w:t xml:space="preserve"> 22(4), 213-220</w:t>
      </w:r>
    </w:p>
    <w:p w14:paraId="37617F12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hAnsi="Calibri" w:cs="Calibri"/>
          <w:bCs/>
        </w:rPr>
        <w:t>Markes, S. (2007).</w:t>
      </w:r>
      <w:r w:rsidRPr="00E123A8">
        <w:rPr>
          <w:rFonts w:ascii="Calibri" w:hAnsi="Calibri" w:cs="Calibri"/>
          <w:b/>
        </w:rPr>
        <w:t xml:space="preserve"> </w:t>
      </w:r>
      <w:r w:rsidRPr="00E123A8">
        <w:rPr>
          <w:rFonts w:ascii="Calibri" w:eastAsia="Times New Roman" w:hAnsi="Calibri" w:cs="Calibri"/>
        </w:rPr>
        <w:t xml:space="preserve">Taping Together Broken Bones. Treatment of the Trauma and Infant Physical and Sexual Abuse. </w:t>
      </w:r>
      <w:r w:rsidRPr="00E123A8">
        <w:rPr>
          <w:rFonts w:ascii="Calibri" w:eastAsia="Times New Roman" w:hAnsi="Calibri" w:cs="Calibri"/>
          <w:i/>
          <w:iCs/>
        </w:rPr>
        <w:t>Journal of Infant, Child, and Adolescent Psychotherapy</w:t>
      </w:r>
      <w:r w:rsidRPr="00E123A8">
        <w:rPr>
          <w:rFonts w:ascii="Calibri" w:eastAsia="Times New Roman" w:hAnsi="Calibri" w:cs="Calibri"/>
        </w:rPr>
        <w:t>, 6(4) 309-326</w:t>
      </w:r>
      <w:r w:rsidRPr="00E123A8">
        <w:rPr>
          <w:rFonts w:ascii="Calibri" w:hAnsi="Calibri" w:cs="Calibri"/>
        </w:rPr>
        <w:t>. DOI: 10.1080/15289160701815666</w:t>
      </w:r>
    </w:p>
    <w:p w14:paraId="3254A4D0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 xml:space="preserve">Merchant, J. (2015). </w:t>
      </w:r>
      <w:hyperlink r:id="rId5" w:tooltip="Link to external resource: 10.1111/1468-5922.12175" w:history="1">
        <w:r w:rsidRPr="00E123A8">
          <w:rPr>
            <w:rFonts w:ascii="Calibri" w:eastAsia="Times New Roman" w:hAnsi="Calibri" w:cs="Calibri"/>
          </w:rPr>
          <w:t>Foetal trauma, body memory and early infant communication: a case illustration. </w:t>
        </w:r>
        <w:r w:rsidRPr="00E123A8">
          <w:rPr>
            <w:rFonts w:ascii="Calibri" w:eastAsia="Times New Roman" w:hAnsi="Calibri" w:cs="Calibri"/>
            <w:i/>
            <w:iCs/>
          </w:rPr>
          <w:t>Journal of Analytical Psychology</w:t>
        </w:r>
        <w:r w:rsidRPr="00E123A8">
          <w:rPr>
            <w:rFonts w:ascii="Calibri" w:eastAsia="Times New Roman" w:hAnsi="Calibri" w:cs="Calibri"/>
          </w:rPr>
          <w:t xml:space="preserve">, 60: 601–617. </w:t>
        </w:r>
        <w:proofErr w:type="spellStart"/>
        <w:r w:rsidRPr="00E123A8">
          <w:rPr>
            <w:rFonts w:ascii="Calibri" w:eastAsia="Times New Roman" w:hAnsi="Calibri" w:cs="Calibri"/>
          </w:rPr>
          <w:t>doi</w:t>
        </w:r>
        <w:proofErr w:type="spellEnd"/>
        <w:r w:rsidRPr="00E123A8">
          <w:rPr>
            <w:rFonts w:ascii="Calibri" w:eastAsia="Times New Roman" w:hAnsi="Calibri" w:cs="Calibri"/>
          </w:rPr>
          <w:t>: 10.1111/1468-5922.12175.</w:t>
        </w:r>
      </w:hyperlink>
    </w:p>
    <w:p w14:paraId="7443A024" w14:textId="77777777" w:rsidR="00E123A8" w:rsidRPr="00E123A8" w:rsidRDefault="00E123A8" w:rsidP="00E123A8">
      <w:pPr>
        <w:shd w:val="clear" w:color="auto" w:fill="FFFFFF"/>
        <w:spacing w:before="100" w:beforeAutospacing="1" w:after="100" w:afterAutospacing="1"/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hAnsi="Calibri" w:cs="Calibri"/>
        </w:rPr>
        <w:t xml:space="preserve">Nelson, K., &amp; </w:t>
      </w:r>
      <w:proofErr w:type="spellStart"/>
      <w:r w:rsidRPr="00E123A8">
        <w:rPr>
          <w:rFonts w:ascii="Calibri" w:hAnsi="Calibri" w:cs="Calibri"/>
        </w:rPr>
        <w:t>Fivush</w:t>
      </w:r>
      <w:proofErr w:type="spellEnd"/>
      <w:r w:rsidRPr="00E123A8">
        <w:rPr>
          <w:rFonts w:ascii="Calibri" w:hAnsi="Calibri" w:cs="Calibri"/>
        </w:rPr>
        <w:t xml:space="preserve">, R. (2004). The emergence of autobiographical memory: A social cultural developmental theory. </w:t>
      </w:r>
      <w:r w:rsidRPr="00E123A8">
        <w:rPr>
          <w:rFonts w:ascii="Calibri" w:hAnsi="Calibri" w:cs="Calibri"/>
          <w:i/>
          <w:iCs/>
        </w:rPr>
        <w:t>Psychological Review</w:t>
      </w:r>
      <w:r w:rsidRPr="00E123A8">
        <w:rPr>
          <w:rFonts w:ascii="Calibri" w:hAnsi="Calibri" w:cs="Calibri"/>
        </w:rPr>
        <w:t xml:space="preserve"> 3: 486-511 DOI:</w:t>
      </w:r>
      <w:r w:rsidRPr="00E123A8">
        <w:rPr>
          <w:rFonts w:ascii="Calibri" w:hAnsi="Calibri" w:cs="Calibri"/>
          <w:b/>
        </w:rPr>
        <w:t xml:space="preserve"> </w:t>
      </w:r>
      <w:r w:rsidRPr="00E123A8">
        <w:rPr>
          <w:rFonts w:ascii="Calibri" w:eastAsia="Times New Roman" w:hAnsi="Calibri" w:cs="Calibri"/>
        </w:rPr>
        <w:t>10.1037/0033-295X.111.2.486</w:t>
      </w:r>
    </w:p>
    <w:p w14:paraId="61638A73" w14:textId="77777777" w:rsidR="00E123A8" w:rsidRPr="00E123A8" w:rsidRDefault="00E123A8" w:rsidP="00E123A8">
      <w:pPr>
        <w:shd w:val="clear" w:color="auto" w:fill="FFFFFF"/>
        <w:spacing w:before="100" w:beforeAutospacing="1" w:after="100" w:afterAutospacing="1"/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 xml:space="preserve">Nexus Fostering (2022). </w:t>
      </w:r>
      <w:r w:rsidRPr="00E123A8">
        <w:rPr>
          <w:rFonts w:ascii="Calibri" w:eastAsia="Times New Roman" w:hAnsi="Calibri" w:cs="Calibri"/>
          <w:i/>
          <w:iCs/>
        </w:rPr>
        <w:t>Foster parent or foster carer, the correct terminology.</w:t>
      </w:r>
      <w:r w:rsidRPr="00E123A8">
        <w:rPr>
          <w:rFonts w:ascii="Calibri" w:eastAsia="Times New Roman" w:hAnsi="Calibri" w:cs="Calibri"/>
        </w:rPr>
        <w:t xml:space="preserve"> https://www.nexusfostering.co.uk/news/foster-parent-or-foster-carer-the-correct-terminology</w:t>
      </w:r>
    </w:p>
    <w:p w14:paraId="42C343E8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t xml:space="preserve">Nichols, M. (2022). Effects of Nurture versus Trauma on Infant and Early Childhood Psychological and Social Development. </w:t>
      </w:r>
      <w:r w:rsidRPr="00E123A8">
        <w:rPr>
          <w:rFonts w:ascii="Calibri" w:eastAsia="Times New Roman" w:hAnsi="Calibri" w:cs="Calibri"/>
          <w:i/>
          <w:iCs/>
        </w:rPr>
        <w:t>BU Journal of Graduate Studies in Education</w:t>
      </w:r>
      <w:r w:rsidRPr="00E123A8">
        <w:rPr>
          <w:rFonts w:ascii="Calibri" w:eastAsia="Times New Roman" w:hAnsi="Calibri" w:cs="Calibri"/>
        </w:rPr>
        <w:t xml:space="preserve">, </w:t>
      </w:r>
      <w:r w:rsidRPr="00E123A8">
        <w:rPr>
          <w:rFonts w:ascii="Calibri" w:eastAsia="Times New Roman" w:hAnsi="Calibri" w:cs="Calibri"/>
          <w:i/>
          <w:iCs/>
        </w:rPr>
        <w:t>14</w:t>
      </w:r>
      <w:r w:rsidRPr="00E123A8">
        <w:rPr>
          <w:rFonts w:ascii="Calibri" w:eastAsia="Times New Roman" w:hAnsi="Calibri" w:cs="Calibri"/>
        </w:rPr>
        <w:t>(2).</w:t>
      </w:r>
    </w:p>
    <w:p w14:paraId="5810E4DC" w14:textId="77777777" w:rsidR="00E123A8" w:rsidRPr="00E123A8" w:rsidRDefault="00E123A8" w:rsidP="00E123A8">
      <w:pPr>
        <w:shd w:val="clear" w:color="auto" w:fill="FFFFFF"/>
        <w:spacing w:before="100" w:beforeAutospacing="1" w:after="100" w:afterAutospacing="1"/>
        <w:ind w:left="720" w:hanging="720"/>
        <w:rPr>
          <w:rFonts w:ascii="Calibri" w:eastAsia="Times New Roman" w:hAnsi="Calibri" w:cs="Calibri"/>
          <w:bCs/>
        </w:rPr>
      </w:pPr>
      <w:r w:rsidRPr="00E123A8">
        <w:rPr>
          <w:rFonts w:ascii="Calibri" w:hAnsi="Calibri" w:cs="Calibri"/>
        </w:rPr>
        <w:t xml:space="preserve">Niedenthal, P.M., Barsalou, L.W., Ric, F., &amp; Krauth-Gruber, S. (2005). Embodiment in the Acquisition and Use of Emotion knowledge. In L.F. Barett, P, Niedenthal, &amp; P. </w:t>
      </w:r>
      <w:proofErr w:type="spellStart"/>
      <w:r w:rsidRPr="00E123A8">
        <w:rPr>
          <w:rFonts w:ascii="Calibri" w:hAnsi="Calibri" w:cs="Calibri"/>
        </w:rPr>
        <w:t>Winkielman</w:t>
      </w:r>
      <w:proofErr w:type="spellEnd"/>
      <w:r w:rsidRPr="00E123A8">
        <w:rPr>
          <w:rFonts w:ascii="Calibri" w:hAnsi="Calibri" w:cs="Calibri"/>
        </w:rPr>
        <w:t xml:space="preserve"> (Eds.), </w:t>
      </w:r>
      <w:r w:rsidRPr="00E123A8">
        <w:rPr>
          <w:rFonts w:ascii="Calibri" w:hAnsi="Calibri" w:cs="Calibri"/>
          <w:i/>
          <w:iCs/>
        </w:rPr>
        <w:t>Emotion and Consciousness</w:t>
      </w:r>
      <w:r w:rsidRPr="00E123A8">
        <w:rPr>
          <w:rFonts w:ascii="Calibri" w:hAnsi="Calibri" w:cs="Calibri"/>
        </w:rPr>
        <w:t xml:space="preserve"> (pp.21-50). New Yor: Guilford Press. </w:t>
      </w:r>
      <w:r w:rsidRPr="00E123A8">
        <w:rPr>
          <w:rFonts w:ascii="Calibri" w:hAnsi="Calibri" w:cs="Calibri"/>
          <w:bCs/>
        </w:rPr>
        <w:t xml:space="preserve">DOI: </w:t>
      </w:r>
      <w:r w:rsidRPr="00E123A8">
        <w:rPr>
          <w:rFonts w:ascii="Calibri" w:eastAsia="Times New Roman" w:hAnsi="Calibri" w:cs="Calibri"/>
          <w:bCs/>
        </w:rPr>
        <w:t>10.5860/CHOICE.43-4960</w:t>
      </w:r>
    </w:p>
    <w:p w14:paraId="1B28B400" w14:textId="77777777" w:rsidR="00E123A8" w:rsidRPr="00E123A8" w:rsidRDefault="00E123A8" w:rsidP="00E123A8">
      <w:pPr>
        <w:shd w:val="clear" w:color="auto" w:fill="FFFFFF"/>
        <w:spacing w:before="100" w:beforeAutospacing="1" w:after="100" w:afterAutospacing="1"/>
        <w:ind w:left="720" w:hanging="720"/>
        <w:rPr>
          <w:rFonts w:ascii="Calibri" w:hAnsi="Calibri" w:cs="Calibri"/>
        </w:rPr>
      </w:pPr>
      <w:r w:rsidRPr="00E123A8">
        <w:rPr>
          <w:rFonts w:ascii="Calibri" w:hAnsi="Calibri" w:cs="Calibri"/>
        </w:rPr>
        <w:t>Perry, B. D., &amp; Szalavitz, M. (2006). </w:t>
      </w:r>
      <w:r w:rsidRPr="00E123A8">
        <w:rPr>
          <w:rFonts w:ascii="Calibri" w:hAnsi="Calibri" w:cs="Calibri"/>
          <w:i/>
          <w:iCs/>
        </w:rPr>
        <w:t>The boy who was raised as a dog and other stories from a child psychiatrist's notebook: What traumatized children can teach us about loss, love, and healing.</w:t>
      </w:r>
      <w:r w:rsidRPr="00E123A8">
        <w:rPr>
          <w:rFonts w:ascii="Calibri" w:hAnsi="Calibri" w:cs="Calibri"/>
        </w:rPr>
        <w:t> Basic Books/Hachette Book Group.</w:t>
      </w:r>
    </w:p>
    <w:p w14:paraId="038E22F2" w14:textId="77777777" w:rsidR="00E123A8" w:rsidRPr="00E123A8" w:rsidRDefault="00E123A8" w:rsidP="00E123A8">
      <w:pPr>
        <w:shd w:val="clear" w:color="auto" w:fill="FFFFFF"/>
        <w:spacing w:before="100" w:beforeAutospacing="1" w:after="100" w:afterAutospacing="1"/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hAnsi="Calibri" w:cs="Calibri"/>
        </w:rPr>
        <w:t xml:space="preserve">Pretorius, I-M (2007). Repeating and Recalling Preverbal Memories Through Play. The Psychoanalysis of a Six-year-old Boy Who Suffered Trauma as an Infant. </w:t>
      </w:r>
      <w:r w:rsidRPr="00E123A8">
        <w:rPr>
          <w:rFonts w:ascii="Calibri" w:hAnsi="Calibri" w:cs="Calibri"/>
          <w:i/>
          <w:iCs/>
        </w:rPr>
        <w:t>They Psychoanalytic Study of the Child</w:t>
      </w:r>
      <w:r w:rsidRPr="00E123A8">
        <w:rPr>
          <w:rFonts w:ascii="Calibri" w:hAnsi="Calibri" w:cs="Calibri"/>
        </w:rPr>
        <w:t>, 62:1, 239-262</w:t>
      </w:r>
      <w:r w:rsidRPr="00E123A8">
        <w:rPr>
          <w:rFonts w:ascii="Calibri" w:hAnsi="Calibri" w:cs="Calibri"/>
          <w:b/>
          <w:bCs/>
        </w:rPr>
        <w:t xml:space="preserve"> </w:t>
      </w:r>
      <w:r w:rsidRPr="00E123A8">
        <w:rPr>
          <w:rFonts w:ascii="Calibri" w:hAnsi="Calibri" w:cs="Calibri"/>
        </w:rPr>
        <w:t>DOI:</w:t>
      </w:r>
      <w:r w:rsidRPr="00E123A8">
        <w:rPr>
          <w:rFonts w:ascii="Calibri" w:hAnsi="Calibri" w:cs="Calibri"/>
          <w:b/>
          <w:bCs/>
        </w:rPr>
        <w:t xml:space="preserve"> </w:t>
      </w:r>
      <w:r w:rsidRPr="00E123A8">
        <w:rPr>
          <w:rFonts w:ascii="Calibri" w:eastAsia="Times New Roman" w:hAnsi="Calibri" w:cs="Calibri"/>
        </w:rPr>
        <w:t>10.1080/00797308.2007.11800791</w:t>
      </w:r>
    </w:p>
    <w:p w14:paraId="7EDF4134" w14:textId="77777777" w:rsidR="00E123A8" w:rsidRPr="00E123A8" w:rsidRDefault="00E123A8" w:rsidP="00E123A8">
      <w:pPr>
        <w:ind w:left="720" w:hanging="720"/>
        <w:rPr>
          <w:rFonts w:ascii="Calibri" w:eastAsia="Times New Roman" w:hAnsi="Calibri" w:cs="Calibri"/>
        </w:rPr>
      </w:pPr>
      <w:r w:rsidRPr="00E123A8">
        <w:rPr>
          <w:rFonts w:ascii="Calibri" w:eastAsia="Times New Roman" w:hAnsi="Calibri" w:cs="Calibri"/>
        </w:rPr>
        <w:lastRenderedPageBreak/>
        <w:t xml:space="preserve">Quin, A. J., Waldron, R., &amp; Page, P. (2010). Infant trauma. </w:t>
      </w:r>
      <w:r w:rsidRPr="00E123A8">
        <w:rPr>
          <w:rFonts w:ascii="Calibri" w:eastAsia="Times New Roman" w:hAnsi="Calibri" w:cs="Calibri"/>
          <w:i/>
          <w:iCs/>
        </w:rPr>
        <w:t>Trauma</w:t>
      </w:r>
      <w:r w:rsidRPr="00E123A8">
        <w:rPr>
          <w:rFonts w:ascii="Calibri" w:eastAsia="Times New Roman" w:hAnsi="Calibri" w:cs="Calibri"/>
        </w:rPr>
        <w:t xml:space="preserve">, </w:t>
      </w:r>
      <w:r w:rsidRPr="00E123A8">
        <w:rPr>
          <w:rFonts w:ascii="Calibri" w:eastAsia="Times New Roman" w:hAnsi="Calibri" w:cs="Calibri"/>
          <w:i/>
          <w:iCs/>
        </w:rPr>
        <w:t>12</w:t>
      </w:r>
      <w:r w:rsidRPr="00E123A8">
        <w:rPr>
          <w:rFonts w:ascii="Calibri" w:eastAsia="Times New Roman" w:hAnsi="Calibri" w:cs="Calibri"/>
        </w:rPr>
        <w:t>(4), 211–219. https://doi.org/10.1177/1460408610378269</w:t>
      </w:r>
    </w:p>
    <w:p w14:paraId="55D556EF" w14:textId="77777777" w:rsidR="00E123A8" w:rsidRPr="00E123A8" w:rsidRDefault="00E123A8" w:rsidP="00E123A8">
      <w:pPr>
        <w:pStyle w:val="BodyText3"/>
        <w:rPr>
          <w:rFonts w:ascii="Calibri" w:hAnsi="Calibri" w:cs="Calibri"/>
          <w:bCs/>
          <w:sz w:val="20"/>
          <w:szCs w:val="20"/>
        </w:rPr>
      </w:pPr>
      <w:r w:rsidRPr="00E123A8">
        <w:rPr>
          <w:rFonts w:ascii="Calibri" w:hAnsi="Calibri" w:cs="Calibri"/>
          <w:bCs/>
          <w:sz w:val="20"/>
          <w:szCs w:val="20"/>
        </w:rPr>
        <w:t xml:space="preserve">Rowland, C. (2013). </w:t>
      </w:r>
      <w:r w:rsidRPr="00E123A8">
        <w:rPr>
          <w:rFonts w:ascii="Calibri" w:hAnsi="Calibri" w:cs="Calibri"/>
          <w:bCs/>
          <w:i/>
          <w:iCs/>
          <w:sz w:val="20"/>
          <w:szCs w:val="20"/>
        </w:rPr>
        <w:t>Understanding Child Language Acquisition</w:t>
      </w:r>
      <w:r w:rsidRPr="00E123A8">
        <w:rPr>
          <w:rFonts w:ascii="Calibri" w:hAnsi="Calibri" w:cs="Calibri"/>
          <w:bCs/>
          <w:sz w:val="20"/>
          <w:szCs w:val="20"/>
        </w:rPr>
        <w:t xml:space="preserve">. Taylor and Francis. </w:t>
      </w:r>
    </w:p>
    <w:p w14:paraId="7474F027" w14:textId="77777777" w:rsidR="00E123A8" w:rsidRPr="00E123A8" w:rsidRDefault="00E123A8" w:rsidP="00E123A8">
      <w:pPr>
        <w:pStyle w:val="BodyText3"/>
        <w:rPr>
          <w:rFonts w:ascii="Calibri" w:hAnsi="Calibri" w:cs="Calibri"/>
          <w:b/>
          <w:sz w:val="20"/>
          <w:szCs w:val="20"/>
        </w:rPr>
      </w:pPr>
    </w:p>
    <w:p w14:paraId="452E067F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Rothschild, B (2010).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The Body Remembers. The Psychophysiology of Trauma and Trauma Treatment.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 W.W. Norton &amp; Company. </w:t>
      </w:r>
    </w:p>
    <w:p w14:paraId="11BC1992" w14:textId="77777777" w:rsidR="00E123A8" w:rsidRPr="00E123A8" w:rsidRDefault="00E123A8" w:rsidP="00E123A8">
      <w:pPr>
        <w:pStyle w:val="BodyText3"/>
        <w:rPr>
          <w:rFonts w:ascii="Calibri" w:hAnsi="Calibri" w:cs="Calibri"/>
          <w:b/>
          <w:sz w:val="20"/>
          <w:szCs w:val="20"/>
        </w:rPr>
      </w:pPr>
    </w:p>
    <w:p w14:paraId="782DAAEF" w14:textId="77777777" w:rsidR="00E123A8" w:rsidRPr="00E123A8" w:rsidRDefault="00E123A8" w:rsidP="00E123A8">
      <w:pPr>
        <w:pStyle w:val="BodyText3"/>
        <w:ind w:left="720" w:hanging="720"/>
        <w:rPr>
          <w:rFonts w:ascii="Calibri" w:hAnsi="Calibri" w:cs="Calibri"/>
          <w:bCs/>
          <w:sz w:val="20"/>
          <w:szCs w:val="20"/>
        </w:rPr>
      </w:pPr>
      <w:r w:rsidRPr="00E123A8">
        <w:rPr>
          <w:rFonts w:ascii="Calibri" w:hAnsi="Calibri" w:cs="Calibri"/>
          <w:bCs/>
          <w:sz w:val="20"/>
          <w:szCs w:val="20"/>
        </w:rPr>
        <w:t xml:space="preserve">Scheeringa, M.S., Zeanah, C.H., Myers, L., &amp; Putnam, F.W. (2005). Predictive Validity in a Prospective Follow-Up of PTSD in Preschool Children. </w:t>
      </w:r>
      <w:r w:rsidRPr="00E123A8">
        <w:rPr>
          <w:rFonts w:ascii="Calibri" w:hAnsi="Calibri" w:cs="Calibri"/>
          <w:bCs/>
          <w:i/>
          <w:iCs/>
          <w:sz w:val="20"/>
          <w:szCs w:val="20"/>
        </w:rPr>
        <w:t>Journal of the American Academy of Child &amp; Adolescent Psychiatry</w:t>
      </w:r>
      <w:r w:rsidRPr="00E123A8">
        <w:rPr>
          <w:rFonts w:ascii="Calibri" w:hAnsi="Calibri" w:cs="Calibri"/>
          <w:bCs/>
          <w:sz w:val="20"/>
          <w:szCs w:val="20"/>
        </w:rPr>
        <w:t xml:space="preserve">, 44 (9), 899-906. </w:t>
      </w:r>
      <w:r w:rsidRPr="00E123A8">
        <w:rPr>
          <w:rFonts w:ascii="Calibri" w:hAnsi="Calibri" w:cs="Calibri"/>
          <w:bCs/>
          <w:sz w:val="20"/>
          <w:szCs w:val="20"/>
          <w:shd w:val="clear" w:color="auto" w:fill="FFFFFF"/>
        </w:rPr>
        <w:t>DOI: 10.1097/01.chi.0000169013.81536.71.</w:t>
      </w:r>
    </w:p>
    <w:p w14:paraId="0B039C2C" w14:textId="77777777" w:rsidR="00E123A8" w:rsidRPr="00E123A8" w:rsidRDefault="00E123A8" w:rsidP="00E123A8">
      <w:pPr>
        <w:pStyle w:val="BodyText2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</w:p>
    <w:p w14:paraId="248AF584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  <w:t>Schore, A. N. (2001). The effects of early relational trauma on right brain development, affect regulation, and infant mental health. </w:t>
      </w:r>
      <w:r w:rsidRPr="00E123A8">
        <w:rPr>
          <w:rFonts w:ascii="Calibri" w:eastAsia="Times New Roman" w:hAnsi="Calibri" w:cs="Calibri"/>
          <w:b w:val="0"/>
          <w:bCs w:val="0"/>
          <w:i/>
          <w:iCs/>
          <w:sz w:val="20"/>
          <w:szCs w:val="20"/>
          <w:u w:val="none"/>
          <w:lang w:eastAsia="ja-JP"/>
        </w:rPr>
        <w:t>Infant Mental Health Journal</w:t>
      </w:r>
      <w:r w:rsidRPr="00E123A8"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  <w:t>, </w:t>
      </w:r>
      <w:r w:rsidRPr="00E123A8">
        <w:rPr>
          <w:rFonts w:ascii="Calibri" w:eastAsia="Times New Roman" w:hAnsi="Calibri" w:cs="Calibri"/>
          <w:b w:val="0"/>
          <w:bCs w:val="0"/>
          <w:i/>
          <w:iCs/>
          <w:sz w:val="20"/>
          <w:szCs w:val="20"/>
          <w:u w:val="none"/>
          <w:lang w:eastAsia="ja-JP"/>
        </w:rPr>
        <w:t>22</w:t>
      </w:r>
      <w:r w:rsidRPr="00E123A8"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  <w:t>(1/2), 201–269. https://doi.org/10.1002/1097-0355(200101/04)22:1&lt;</w:t>
      </w:r>
      <w:proofErr w:type="gramStart"/>
      <w:r w:rsidRPr="00E123A8"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  <w:t>201::</w:t>
      </w:r>
      <w:proofErr w:type="gramEnd"/>
      <w:r w:rsidRPr="00E123A8"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  <w:t>AID-IMHJ8&gt;3.0.CO;2-9</w:t>
      </w:r>
    </w:p>
    <w:p w14:paraId="01F97EE8" w14:textId="77777777" w:rsidR="00E123A8" w:rsidRPr="00E123A8" w:rsidRDefault="00E123A8" w:rsidP="00E123A8">
      <w:pPr>
        <w:pStyle w:val="BodyText3"/>
        <w:rPr>
          <w:rFonts w:ascii="Calibri" w:hAnsi="Calibri" w:cs="Calibri"/>
          <w:bCs/>
          <w:sz w:val="20"/>
          <w:szCs w:val="20"/>
        </w:rPr>
      </w:pPr>
    </w:p>
    <w:p w14:paraId="5B86355D" w14:textId="77777777" w:rsidR="00E123A8" w:rsidRPr="00E123A8" w:rsidRDefault="00E123A8" w:rsidP="00E123A8">
      <w:pPr>
        <w:pStyle w:val="BodyText3"/>
        <w:ind w:left="720" w:hanging="720"/>
        <w:rPr>
          <w:rFonts w:ascii="Calibri" w:hAnsi="Calibri" w:cs="Calibri"/>
          <w:bCs/>
          <w:sz w:val="20"/>
          <w:szCs w:val="20"/>
        </w:rPr>
      </w:pPr>
      <w:r w:rsidRPr="00E123A8">
        <w:rPr>
          <w:rFonts w:ascii="Calibri" w:hAnsi="Calibri" w:cs="Calibri"/>
          <w:bCs/>
          <w:sz w:val="20"/>
          <w:szCs w:val="20"/>
        </w:rPr>
        <w:t>Smith, J.A., Flowers, P., Larkin, M. (2022).</w:t>
      </w:r>
      <w:r w:rsidRPr="00E123A8">
        <w:rPr>
          <w:rFonts w:ascii="Calibri" w:hAnsi="Calibri" w:cs="Calibri"/>
          <w:bCs/>
          <w:i/>
          <w:iCs/>
          <w:sz w:val="20"/>
          <w:szCs w:val="20"/>
        </w:rPr>
        <w:t xml:space="preserve"> Interpretative Phenomenological Analysis. Theory, Method and Research.  </w:t>
      </w:r>
      <w:r w:rsidRPr="00E123A8">
        <w:rPr>
          <w:rFonts w:ascii="Calibri" w:hAnsi="Calibri" w:cs="Calibri"/>
          <w:bCs/>
          <w:sz w:val="20"/>
          <w:szCs w:val="20"/>
        </w:rPr>
        <w:t>2</w:t>
      </w:r>
      <w:r w:rsidRPr="00E123A8">
        <w:rPr>
          <w:rFonts w:ascii="Calibri" w:hAnsi="Calibri" w:cs="Calibri"/>
          <w:bCs/>
          <w:sz w:val="20"/>
          <w:szCs w:val="20"/>
          <w:vertAlign w:val="superscript"/>
        </w:rPr>
        <w:t>nd</w:t>
      </w:r>
      <w:r w:rsidRPr="00E123A8">
        <w:rPr>
          <w:rFonts w:ascii="Calibri" w:hAnsi="Calibri" w:cs="Calibri"/>
          <w:bCs/>
          <w:sz w:val="20"/>
          <w:szCs w:val="20"/>
        </w:rPr>
        <w:t xml:space="preserve"> Edition. Sage. </w:t>
      </w:r>
    </w:p>
    <w:p w14:paraId="46BA1BA3" w14:textId="77777777" w:rsidR="00E123A8" w:rsidRPr="00E123A8" w:rsidRDefault="00E123A8" w:rsidP="00E123A8">
      <w:pPr>
        <w:shd w:val="clear" w:color="auto" w:fill="FFFFFF"/>
        <w:spacing w:before="100" w:beforeAutospacing="1" w:after="100" w:afterAutospacing="1"/>
        <w:ind w:left="720" w:hanging="720"/>
        <w:rPr>
          <w:rFonts w:ascii="Calibri" w:hAnsi="Calibri" w:cs="Calibri"/>
        </w:rPr>
      </w:pPr>
      <w:r w:rsidRPr="00E123A8">
        <w:rPr>
          <w:rFonts w:ascii="Calibri" w:eastAsia="Times New Roman" w:hAnsi="Calibri" w:cs="Calibri"/>
        </w:rPr>
        <w:t xml:space="preserve">Solter, A. (2008). A 2-year-old Child's Memory of Hospitalization During Early Infancy. </w:t>
      </w:r>
      <w:r w:rsidRPr="00E123A8">
        <w:rPr>
          <w:rFonts w:ascii="Calibri" w:eastAsia="Times New Roman" w:hAnsi="Calibri" w:cs="Calibri"/>
          <w:i/>
          <w:iCs/>
        </w:rPr>
        <w:t xml:space="preserve">Infant and Child Development. </w:t>
      </w:r>
      <w:r w:rsidRPr="00E123A8">
        <w:rPr>
          <w:rFonts w:ascii="Calibri" w:eastAsia="Times New Roman" w:hAnsi="Calibri" w:cs="Calibri"/>
        </w:rPr>
        <w:t xml:space="preserve">17, 593-605. DOI: </w:t>
      </w:r>
      <w:r w:rsidRPr="00E123A8">
        <w:rPr>
          <w:rFonts w:ascii="Calibri" w:hAnsi="Calibri" w:cs="Calibri"/>
        </w:rPr>
        <w:t>10.1002/icd.570</w:t>
      </w:r>
    </w:p>
    <w:p w14:paraId="6CC30771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eastAsia="Times New Roman" w:hAnsi="Calibri" w:cs="Calibri"/>
          <w:b w:val="0"/>
          <w:bCs w:val="0"/>
          <w:sz w:val="20"/>
          <w:szCs w:val="20"/>
          <w:u w:val="none"/>
          <w:lang w:eastAsia="ja-JP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Spiel, S., Lombardi, K., &amp; DeRubeis-Byrne, L. (2019). Treating Traumatized Children: Somatic Memories and Play Therapy.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Journal of Infant, Child &amp; Adolescent Psychotherapy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,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>18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>(1), 1–12. https://doi.org/10.1080/15289168.2019.1566974</w:t>
      </w:r>
    </w:p>
    <w:p w14:paraId="110161FB" w14:textId="77777777" w:rsidR="00E123A8" w:rsidRPr="00E123A8" w:rsidRDefault="00E123A8" w:rsidP="00E123A8">
      <w:pPr>
        <w:pStyle w:val="BodyText2"/>
        <w:jc w:val="both"/>
        <w:rPr>
          <w:rFonts w:ascii="Calibri" w:eastAsia="Times New Roman" w:hAnsi="Calibri" w:cs="Calibri"/>
          <w:sz w:val="20"/>
          <w:szCs w:val="20"/>
          <w:lang w:eastAsia="ja-JP"/>
        </w:rPr>
      </w:pPr>
    </w:p>
    <w:p w14:paraId="7D188B42" w14:textId="77777777" w:rsidR="00E123A8" w:rsidRPr="00E123A8" w:rsidRDefault="00E123A8" w:rsidP="00E123A8">
      <w:pPr>
        <w:pStyle w:val="NoSpacing"/>
        <w:adjustRightInd w:val="0"/>
        <w:ind w:left="720" w:hanging="720"/>
        <w:jc w:val="both"/>
        <w:rPr>
          <w:rFonts w:cs="Calibri"/>
          <w:sz w:val="20"/>
          <w:szCs w:val="20"/>
        </w:rPr>
      </w:pPr>
      <w:r w:rsidRPr="00E123A8">
        <w:rPr>
          <w:rFonts w:cs="Calibri"/>
          <w:sz w:val="20"/>
          <w:szCs w:val="20"/>
        </w:rPr>
        <w:t xml:space="preserve">TACT Fostering (n.d.). Language that cares Changing the way professionals talk about Children in Care. </w:t>
      </w:r>
      <w:hyperlink r:id="rId6" w:history="1">
        <w:r w:rsidRPr="00E123A8">
          <w:rPr>
            <w:rStyle w:val="Hyperlink"/>
            <w:rFonts w:cs="Calibri"/>
            <w:color w:val="auto"/>
            <w:sz w:val="20"/>
            <w:szCs w:val="20"/>
          </w:rPr>
          <w:t>https://www.proceduresonline.com/trixcms1/media/3173/guidance-language-that-cares.pdf</w:t>
        </w:r>
      </w:hyperlink>
      <w:r w:rsidRPr="00E123A8">
        <w:rPr>
          <w:rFonts w:cs="Calibri"/>
          <w:sz w:val="20"/>
          <w:szCs w:val="20"/>
        </w:rPr>
        <w:t xml:space="preserve"> </w:t>
      </w:r>
    </w:p>
    <w:p w14:paraId="31A36235" w14:textId="77777777" w:rsidR="00E123A8" w:rsidRPr="00E123A8" w:rsidRDefault="00E123A8" w:rsidP="00E123A8">
      <w:pPr>
        <w:pStyle w:val="NoSpacing"/>
        <w:adjustRightInd w:val="0"/>
        <w:ind w:left="720" w:hanging="720"/>
        <w:jc w:val="both"/>
        <w:rPr>
          <w:rFonts w:cs="Calibri"/>
          <w:sz w:val="20"/>
          <w:szCs w:val="20"/>
        </w:rPr>
      </w:pPr>
    </w:p>
    <w:p w14:paraId="63FB4F36" w14:textId="77777777" w:rsidR="00E123A8" w:rsidRPr="00E123A8" w:rsidRDefault="00E123A8" w:rsidP="00E123A8">
      <w:pPr>
        <w:pStyle w:val="NoSpacing"/>
        <w:adjustRightInd w:val="0"/>
        <w:ind w:left="720" w:hanging="720"/>
        <w:jc w:val="both"/>
        <w:rPr>
          <w:rFonts w:cs="Calibri"/>
          <w:sz w:val="20"/>
          <w:szCs w:val="20"/>
        </w:rPr>
      </w:pPr>
      <w:r w:rsidRPr="00E123A8">
        <w:rPr>
          <w:rFonts w:cs="Calibri"/>
          <w:sz w:val="20"/>
          <w:szCs w:val="20"/>
        </w:rPr>
        <w:t>The Australian Human Rights Commission (n.d.). Children, Youth Rights and the Law. https://humanrights.gov.au/know-your-rights/rights-of-individuals/childrens-rights/children-and-youth-rights-and-the-law</w:t>
      </w:r>
    </w:p>
    <w:p w14:paraId="3B1AC128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</w:p>
    <w:p w14:paraId="0C70DCA6" w14:textId="77777777" w:rsidR="00E123A8" w:rsidRPr="00E123A8" w:rsidRDefault="00E123A8" w:rsidP="00E123A8">
      <w:pPr>
        <w:pStyle w:val="BodyText2"/>
        <w:ind w:left="720" w:hanging="720"/>
        <w:jc w:val="both"/>
        <w:rPr>
          <w:rFonts w:ascii="Calibri" w:hAnsi="Calibri" w:cs="Calibri"/>
          <w:b w:val="0"/>
          <w:bCs w:val="0"/>
          <w:sz w:val="20"/>
          <w:szCs w:val="20"/>
          <w:u w:val="none"/>
        </w:rPr>
      </w:pP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Van der Kolk, B (2015). </w:t>
      </w:r>
      <w:r w:rsidRPr="00E123A8">
        <w:rPr>
          <w:rFonts w:ascii="Calibri" w:hAnsi="Calibri" w:cs="Calibri"/>
          <w:b w:val="0"/>
          <w:bCs w:val="0"/>
          <w:i/>
          <w:iCs/>
          <w:sz w:val="20"/>
          <w:szCs w:val="20"/>
          <w:u w:val="none"/>
        </w:rPr>
        <w:t xml:space="preserve">The Body Keeps the Score. Mind, Brain and Body in the Transformation of Trauma. </w:t>
      </w:r>
      <w:r w:rsidRPr="00E123A8">
        <w:rPr>
          <w:rFonts w:ascii="Calibri" w:hAnsi="Calibri" w:cs="Calibri"/>
          <w:b w:val="0"/>
          <w:bCs w:val="0"/>
          <w:sz w:val="20"/>
          <w:szCs w:val="20"/>
          <w:u w:val="none"/>
        </w:rPr>
        <w:t xml:space="preserve">Penguin Psychology. </w:t>
      </w:r>
    </w:p>
    <w:p w14:paraId="1F041452" w14:textId="77777777" w:rsidR="006D687D" w:rsidRPr="00E123A8" w:rsidRDefault="006D687D"/>
    <w:sectPr w:rsidR="006D687D" w:rsidRPr="00E123A8" w:rsidSect="00B33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Segoe UI"/>
    <w:charset w:val="00"/>
    <w:family w:val="roman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A8"/>
    <w:rsid w:val="000E14FC"/>
    <w:rsid w:val="00194ECD"/>
    <w:rsid w:val="004F7ABB"/>
    <w:rsid w:val="006D687D"/>
    <w:rsid w:val="006E2440"/>
    <w:rsid w:val="00742108"/>
    <w:rsid w:val="00765D72"/>
    <w:rsid w:val="008F75E7"/>
    <w:rsid w:val="00B33234"/>
    <w:rsid w:val="00E123A8"/>
    <w:rsid w:val="00E57B88"/>
    <w:rsid w:val="00F0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2CA13"/>
  <w15:chartTrackingRefBased/>
  <w15:docId w15:val="{F0F24058-C0A9-4D94-802D-F5B4CA57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3A8"/>
    <w:pPr>
      <w:spacing w:after="240" w:line="240" w:lineRule="auto"/>
      <w:jc w:val="both"/>
    </w:pPr>
    <w:rPr>
      <w:rFonts w:ascii="Arial" w:eastAsia="Arial" w:hAnsi="Arial" w:cs="Arial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3A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3A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3A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3A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3A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3A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3A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3A8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3A8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3A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3A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3A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3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3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3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3A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3A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2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3A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23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3A8"/>
    <w:pPr>
      <w:spacing w:before="160" w:after="160" w:line="259" w:lineRule="auto"/>
      <w:jc w:val="center"/>
    </w:pPr>
    <w:rPr>
      <w:rFonts w:ascii="Calibri" w:eastAsiaTheme="minorEastAsia" w:hAnsi="Calibr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2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3A8"/>
    <w:pPr>
      <w:spacing w:after="160" w:line="259" w:lineRule="auto"/>
      <w:ind w:left="720"/>
      <w:contextualSpacing/>
      <w:jc w:val="left"/>
    </w:pPr>
    <w:rPr>
      <w:rFonts w:ascii="Calibri" w:eastAsiaTheme="minorEastAsia" w:hAnsi="Calibri" w:cstheme="minorBidi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2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" w:eastAsiaTheme="minorEastAsia" w:hAnsi="Calibr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3A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123A8"/>
    <w:pPr>
      <w:spacing w:after="0" w:line="240" w:lineRule="auto"/>
    </w:pPr>
    <w:rPr>
      <w:rFonts w:eastAsia="Yu Gothic" w:cs="Arial"/>
      <w14:ligatures w14:val="none"/>
    </w:rPr>
  </w:style>
  <w:style w:type="character" w:styleId="Hyperlink">
    <w:name w:val="Hyperlink"/>
    <w:uiPriority w:val="99"/>
    <w:unhideWhenUsed/>
    <w:rsid w:val="00E123A8"/>
    <w:rPr>
      <w:color w:val="467886"/>
      <w:u w:val="single"/>
    </w:rPr>
  </w:style>
  <w:style w:type="paragraph" w:styleId="BodyText2">
    <w:name w:val="Body Text 2"/>
    <w:basedOn w:val="Normal"/>
    <w:link w:val="BodyText2Char"/>
    <w:rsid w:val="00E123A8"/>
    <w:pPr>
      <w:widowControl w:val="0"/>
      <w:suppressAutoHyphens/>
      <w:spacing w:after="0"/>
      <w:jc w:val="left"/>
    </w:pPr>
    <w:rPr>
      <w:rFonts w:ascii="Liberation Serif" w:eastAsia="Droid Sans Fallback" w:hAnsi="Liberation Serif" w:cs="Courier"/>
      <w:b/>
      <w:bCs/>
      <w:sz w:val="28"/>
      <w:szCs w:val="24"/>
      <w:u w:val="single"/>
      <w:lang w:eastAsia="zh-CN" w:bidi="hi-IN"/>
    </w:rPr>
  </w:style>
  <w:style w:type="character" w:customStyle="1" w:styleId="BodyText2Char">
    <w:name w:val="Body Text 2 Char"/>
    <w:basedOn w:val="DefaultParagraphFont"/>
    <w:link w:val="BodyText2"/>
    <w:rsid w:val="00E123A8"/>
    <w:rPr>
      <w:rFonts w:ascii="Liberation Serif" w:eastAsia="Droid Sans Fallback" w:hAnsi="Liberation Serif" w:cs="Courier"/>
      <w:b/>
      <w:bCs/>
      <w:sz w:val="28"/>
      <w:szCs w:val="24"/>
      <w:u w:val="single"/>
      <w:lang w:eastAsia="zh-CN" w:bidi="hi-IN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123A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23A8"/>
    <w:rPr>
      <w:rFonts w:ascii="Arial" w:eastAsia="Arial" w:hAnsi="Arial" w:cs="Arial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ceduresonline.com/trixcms1/media/3173/guidance-language-that-cares.pdf" TargetMode="External"/><Relationship Id="rId5" Type="http://schemas.openxmlformats.org/officeDocument/2006/relationships/hyperlink" Target="https://doi.org/10.1111/1468-5922.12175" TargetMode="External"/><Relationship Id="rId4" Type="http://schemas.openxmlformats.org/officeDocument/2006/relationships/hyperlink" Target="https://doi.org/10.1080/15294145.2011.10773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Mioi Forster-Nakayama</dc:creator>
  <cp:keywords/>
  <dc:description/>
  <cp:lastModifiedBy>Mioi Forster-Nakayama</cp:lastModifiedBy>
  <cp:revision>1</cp:revision>
  <dcterms:created xsi:type="dcterms:W3CDTF">2026-08-10T03:14:00Z</dcterms:created>
  <dcterms:modified xsi:type="dcterms:W3CDTF">2026-08-10T03:14:00Z</dcterms:modified>
</cp:coreProperties>
</file>